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11 342 vom 12. September 2011</w:t>
      </w:r>
    </w:p>
    <w:p>
      <w:r>
        <w:t>BL Gerichte, 2011-09-12, DE</w:t>
      </w:r>
    </w:p>
    <w:p>
      <w:r>
        <w:rPr>
          <w:b/>
        </w:rPr>
        <w:t xml:space="preserve">Quelle: </w:t>
      </w:r>
      <w:r>
        <w:t>https://mcp.opencaselaw.ch/entscheid/bl_gerichte_720 11 342</w:t>
      </w:r>
    </w:p>
    <w:p>
      <w:r>
        <w:t>FR: BL_GERICHTE 720 11 342 du 12 septembre 2011</w:t>
      </w:r>
    </w:p>
    <w:p>
      <w:r>
        <w:t>IT: BL_GERICHTE 720 11 342 del 12 settembre 2011</w:t>
      </w:r>
    </w:p>
    <w:p>
      <w:pPr>
        <w:pStyle w:val="Heading2"/>
      </w:pPr>
      <w:r>
        <w:t>Regeste</w:t>
      </w:r>
    </w:p>
    <w:p>
      <w:r>
        <w:t>IV-Rente</w:t>
      </w:r>
    </w:p>
    <w:p>
      <w:pPr>
        <w:pStyle w:val="Heading2"/>
      </w:pPr>
      <w:r>
        <w:t>Erwägungen</w:t>
      </w:r>
    </w:p>
    <w:p>
      <w:r>
        <w:rPr>
          <w:b/>
        </w:rPr>
        <w:t>E. 1</w:t>
      </w:r>
    </w:p>
    <w:p>
      <w:r>
        <w:t>Auf die frist- und formgerecht beim sachlich wie örtlich zuständigen Gericht eingereichte Beschwerde ist einzutreten.</w:t>
      </w:r>
    </w:p>
    <w:p>
      <w:r>
        <w:rPr>
          <w:b/>
        </w:rPr>
        <w:t>E. 2</w:t>
      </w:r>
    </w:p>
    <w:p>
      <w:r>
        <w:t>Strittig ist vorliegend die Frage, ob die Beschwerdeführerin Anspruch auf eine Rente hat.</w:t>
      </w:r>
    </w:p>
    <w:p>
      <w:r>
        <w:rPr>
          <w:b/>
        </w:rPr>
        <w:t>E. 2.1</w:t>
      </w:r>
    </w:p>
    <w:p>
      <w:r>
        <w:t>Nach Art. 28 Abs. 2 des Bundesgesetzes über die Invalidenversicherung (IVG) vom 19. Juni 1959 besteht der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Eine Invalidität von weniger als 40% wird von der Invalidenversicherung rentenmässig nicht entschädigt.</w:t>
      </w:r>
    </w:p>
    <w:p>
      <w:r>
        <w:rPr>
          <w:b/>
        </w:rPr>
        <w:t>E. 2.2</w:t>
      </w:r>
    </w:p>
    <w:p>
      <w:r>
        <w:t>Unter Invalidität versteht Art. 8 Abs. 1 des Bundesgesetzes über den Allgemeinen Teil des Sozialversicherungsrechts (ATSG) vom 6. Oktober 2000 die ganze oder teilweise Erwerbsunfähigkeit. Der Invaliditätsgrad einer Person, die einer Erwerbstätigkeit nachgeht und danach erkrankt, wird daher nach Art. 16 ATSG durch einen Vergleich möglicher Einkommen mit bzw. ohne Gesundheitsbeeinträchtigungen ermittelt (allgemeine Methode des Einkommensvergleichs).</w:t>
      </w:r>
    </w:p>
    <w:p>
      <w:r>
        <w:rPr>
          <w:b/>
        </w:rPr>
        <w:t>E. 2.3</w:t>
      </w:r>
    </w:p>
    <w:p>
      <w:r>
        <w:t>Bei nichterwerbstätigen Versicherten, welche in einem Aufgabenbereich (z.B. Haushalt) tätig sind und denen die Aufnahme einer Erwerbstätigkeit nicht zugemutet werden kann, wird für die Bemessung der Invalidität in Abweichung von Art. 16 ATSG darauf abgestellt, in welchem Masse sie behindert sind, sich im bisherigen Aufgabenbereich zu betätigen (Betätigungsvergleich; Art. 28a Abs. 2 IVG).</w:t>
      </w:r>
    </w:p>
    <w:p>
      <w:r>
        <w:rPr>
          <w:b/>
        </w:rPr>
        <w:t>E. 2.4</w:t>
      </w:r>
    </w:p>
    <w:p>
      <w:r>
        <w:t>Im vorliegenden Fall berechnete die Vorinstanz den Invaliditätsgrad aufgrund eines Betätigungsvergleichs. Dieses Vorgehen ist unter Berücksichtigung der Tatsache, dass die Beschwerdeführerin seit ihrer Eheschliessung im Jahr 1970 keiner ausserhäuslichen Tätigkeit mehr nachging und ihren Beruf als Konfektionsschneiderin nicht mehr ausübte (vgl. Fragebogen zur Ermittlung der Erwerbstätigkeit vom 22. Juli 2010), nicht zu beanstanden und wird von der Beschwerdeführerin zu Recht auch nicht bestritten. 3.1 Gemäss der Legaldefinition von Art. 6 ATSG ist Arbeitsunfähigkeit die durch eine Beeinträchtigung der körperlichen oder geistigen Gesundheit bedingte, volle oder teilweise Unfähigkeit, im bisherigen Beruf oder Aufgabenbereich zumutbare Arbeit zu leisten (Satz 1). Bei langer Dauer wird auch die zumutbare Tätigkeit in einem anderen Beruf oder Aufgabenbereich berücksichtigt (Satz 2). 3.2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 3.3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(vgl. BGE 134 V 323 E. 5.1, 125 V 352 E. 3a, 122 V 160 E. 1c; AHI- Praxis 2001 S. 113 E. 3a). 3.4 Dennoch erachtet es die Rechtsprechung des Bundesgerichts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(Urteil des Eidgenössischen Versicherungsgerichts [EVG; heute Bundesgericht, sozialrechtliche Abteilungen] vom 9. August 2000, I 437/99 und I 575/99, E. 4b/bb). 3.5 Hinsichtlich des Beweiswertes eines Abklärungsberichtes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die divergierenden Meinungen der Beteiligten im Bericht aufzuzeigen sind. Der Berichtstext muss plausibel, begründet und angemessen detailliert bezüglich der einzelnen Einschränkungen sein sowie in Übereinstimmung mit den an Ort und Stelle erhobenen Angaben stehen (in BGE 134 V 9 nicht publizierte E. 5.2.1 des Urteils des Bundesgerichts vom 30. Oktober 2007, I 256/05). Erfüllt ein Abklärungsbericht diese Anforderungen, so ist die innerhalb der Bandbreiten gemäss Rz. 3095 des Kreisschreibens über die Invalidität und die Hilflosigkeit in der IV (KSIH in der ab 1. Januar 2004 gültig gewesenen Form [unverändert übernommen in Rz. 3086 der ab 1. Januar 2011 anwendbaren Fassung]) erfolgte Gewichtung der einzelnen Bereiche eine Ermessensfrage, die von einer Beurteilung der konkreten Gegebenheiten des Einzelfalls abhängt und, soweit Gegenstand des angefochtenen Entscheides, vom Gericht nur im Hinblick auf Ermessensüberschreitung oder -missbrauch geprüft wird.</w:t>
      </w:r>
    </w:p>
    <w:p>
      <w:r>
        <w:rPr>
          <w:b/>
        </w:rPr>
        <w:t>E. 4</w:t>
      </w:r>
    </w:p>
    <w:p>
      <w:r>
        <w:t>Vorliegend sind im Wesentlichen nachfolgende Berichte bei der Bemessung des Invaliditätsgrads zu berücksichtigen:</w:t>
      </w:r>
    </w:p>
    <w:p>
      <w:r>
        <w:rPr>
          <w:b/>
        </w:rPr>
        <w:t>E. 4.1</w:t>
      </w:r>
    </w:p>
    <w:p>
      <w:r>
        <w:t>Haushaltführung</w:t>
      </w:r>
    </w:p>
    <w:p>
      <w:r>
        <w:rPr>
          <w:b/>
        </w:rPr>
        <w:t>E. 4.2</w:t>
      </w:r>
    </w:p>
    <w:p>
      <w:r>
        <w:t>Ernährung 50 % 20% 10%</w:t>
      </w:r>
    </w:p>
    <w:p>
      <w:r>
        <w:rPr>
          <w:b/>
        </w:rPr>
        <w:t>E. 4.3</w:t>
      </w:r>
    </w:p>
    <w:p>
      <w:r>
        <w:t>Wohnungspflege 19% 30% 5.7%</w:t>
      </w:r>
    </w:p>
    <w:p>
      <w:r>
        <w:rPr>
          <w:b/>
        </w:rPr>
        <w:t>E. 4.4</w:t>
      </w:r>
    </w:p>
    <w:p>
      <w:r>
        <w:t>Einkauf und weitere Besorgungen</w:t>
      </w:r>
    </w:p>
    <w:p>
      <w:r>
        <w:rPr>
          <w:b/>
        </w:rPr>
        <w:t>E. 4.5</w:t>
      </w:r>
    </w:p>
    <w:p>
      <w:r>
        <w:t>Wäsche und Kleiderpflege 15% 25% 3.75%</w:t>
      </w:r>
    </w:p>
    <w:p>
      <w:r>
        <w:rPr>
          <w:b/>
        </w:rPr>
        <w:t>E. 4.6</w:t>
      </w:r>
    </w:p>
    <w:p>
      <w:r>
        <w:t>Im Rahmen des Vorbescheidverfahrens monierte der Hausarzt, dass die Beschwerdeführerin zu mindestens 40% in ihrer Arbeitsfähigkeit im Haushalt eingeschränkt sei und er regte eine psychiatrische Untersuchung an. In der Folge holte die IV-Stelle ein Gutachten bei Dr. C. ein. Am 8. August 2011 diagnostizierte dieser eine schizoaffektive Störung, gegenwärtig depressiv. Differentialdiagnostisch lägen eine rezidivierende depressive Störung, gegenwärtig mittelschwere bis schwere Episode mit somatischem Syndrom, und eine bipolare Störung, gegenwärtig schwere Episode ohne psychotische Symptome, vor. Aufgrund ihres psychischen Leidens sei die Beschwerdeführerin in ihrer psychophysischen Belastbarkeit und damit in ihrer Arbeitsfähigkeit zu 50% eingeschränkt. Dabei müsse berücksichtigt werden, dass der noch rüstige Ehemann im Rahmen der Schadenminderungspflicht in der Lage sei, ein Pensum im Hauhalt zu übernehmen. Der Beginn der Arbeitsunfähigkeit im heutigen Ausmass falle mit dem Eintritt der Beschwerdeführerin in die KPK Liestal von März 2009 zusammen. Abschliessend führte Dr. C. mit Blick auf die Einschätzung im Abklärungsbericht vom 29. November 2010, wonach die Beschwerdeführerin zu 23% eingeschränkt sei, aus, dass diese Bewertung eher dem heutigen psychischen Zustand der Beschwerdeführerin entspreche. Hierfür müsse aber die vom Ehemann geleistete Mithilfe im Haushalt im Umfang von 30% in die Berechnung der Arbeitsfähigkeit der Beschwerdeführerin miteinbezogen werden.</w:t>
      </w:r>
    </w:p>
    <w:p>
      <w:r>
        <w:rPr>
          <w:b/>
        </w:rPr>
        <w:t>E. 4.7</w:t>
      </w:r>
    </w:p>
    <w:p>
      <w:r>
        <w:t>Verschiedenes 1 % 20% 0.2% Total: 100 % 22.65%</w:t>
      </w:r>
    </w:p>
    <w:p>
      <w:r>
        <w:rPr>
          <w:b/>
        </w:rPr>
        <w:t>E. 5</w:t>
      </w:r>
    </w:p>
    <w:p>
      <w:r>
        <w:t>% 20% 1%</w:t>
      </w:r>
    </w:p>
    <w:p>
      <w:r>
        <w:rPr>
          <w:b/>
        </w:rPr>
        <w:t>E. 5.1</w:t>
      </w:r>
    </w:p>
    <w:p>
      <w:r>
        <w:t>Die Beschwerdegegnerin stützte sich in der angefochtenen Verfügung vom 30. August 2011 auf die Ausführungen von Dr. C. vom 8. August 2011 und den zweiten Bericht des Abklärungsdienstes vom 29. November 2010. Sie ging demnach davon aus, dass unter Berücksichtigung der familiären Schadenminderungspflicht des Ehemannes eine Einschränkung im Haushalt in Höhe von gerundet 23% bestehe, weshalb die Beschwerdeführerin keinen Anspruch auf eine Rente habe. Wie oben festgehalten, ist in Bezug auf den Beweiswert eines Abklärungsberichtes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die divergierenden Meinungen der Beteiligten im Bericht aufzuzeigen sind (vgl. oben E. 3.5). Vorliegend wurde der erste Bericht vom 12. August 2010 von einer qualifizierten Fachperson im Rahmen einer Abklärung vor Ort erstellt. Dabei resultierte eine Einschränkung im Haushalt in Höhe von 42.75 %. Aufgrund der Bemerkung am Ende des Berichtes, wonach die Mithilfe des Ehemannes im Rahmen des Schadenminderungspflicht nur geringfügig berücksichtigt worden sei, sah sich die Vorinstanz - nach Intervention des RAD - veranlasst, einen weiteren Bericht zu erstellen. Dieser Bericht, der als Grundlage für die Leistungsabweisung diente, genügt jedoch bezüglich Plausibilität, Begründetheit und Detailliertheit aus nachfolgenden Gründen nicht den Beweisanforderungen und stellt keine zuverlässige Grundlage für die Beurteilung des Leistungsanspruchs dar. 5.2.1 Mit der Vorinstanz ist zunächst einig zu gehen, dass auch im Haushalt tätige Versicherte der Schadenminderungspflicht unterstehen (Urteil des EVG vom 18. Mai 2004, I 457/02, E. 8 nicht publiziert in BGE 130 V 396). Dies bedeutet, dass sie Verhaltensweisen zu entwickeln haben,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(vgl. BGE 133 V 505 E. 4.2 mit Hinweisen). Dabei darf aber unter dem Titel der Schadenminderungspflicht nicht etwa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(Urteil des Bundesgerichts vom 31. März 2011, 9C_121/2011, E. 3.3.2.1). 5.2.2. Festzustellen ist vorliegend, dass der zweite Bericht vom 29. November 2010 nicht aufgrund einer Abklärung vor Ort erstellt wurde. Vielmehr wurde der erste Bericht vom 12. August 2010 herangezogen und an die medizinischen Einschätzungen des RAD-Arztes Dr. F. vom 18. August 2010 angepasst. So war die Beschwerdeführerin im Bereich Haushaltsführung (Ziffer 4.1) nunmehr nur noch um 20% eingeschränkt, nachdem sie nach der Abklärung vor Ort noch eine Einschränkung von 70% aufwies. Auffallend ist, dass auch der Text, der jeweils am Ende eines Tätigkeitsfeldes festgehalten wurde, im Bericht vom 12. August 2010 praktisch unverändert in jenen von Ende November 2010 übernommen wurde. Ergänzend wurde lediglich festgehalten, dass die Mithilfe des Ehemannes an der Planung des Haushaltes im Rahmen der Schadenminderungspflicht berücksichtigt werde. Diese Ergänzung wurde auch bei weiteren Bereichen wie Ernährung (Ziffer 4.2), Wohnungspflege (Ziffer 4.3), Einkauf und weitere Besorgungen (Ziffer 4.4) sowie Verschiedenes (Ziffer 4.7) erwähnt, ohne die konkrete Situation vor Ort abgeklärt zu haben. Damit wird aber der Eindruck erweckt, als ob die einzelnen Funktionen im Haushalt, welche die Beschwerdeführerin aufgrund ihrer Beschwerden nicht mehr selber erledigen kann, auf den pensionierten Ehemann überwälzt wurden, was aber aufgrund der zitierten Rechtsprechung (E. 5.2.1) gerade nicht statthaft ist. Zu berücksichtigen ist auch, dass die Beschwerdeführerin bis zur Pensionierung des Ehemannes den ganzen Haushalt alleine erledigt hatte. Nach ihrer Erkrankung übernahm der Ehemann bereits einen Teil der anfallenden Arbeiten, wie dies im Abklärungsbericht vom 12. August 2010 festgehalten wurde. Es stellt sich daher die Frage, in welchem Umfang dem pensionierten Ehemann im Rahmen der Schadenminderungspflicht Haushaltsarbeiten zugemutet werden können. Folgte man der Vorinstanz, so führt dies dazu, dass der Ehemann der Beschwerdeführerin nunmehr 80% der anfallenden Haushaltsarbeiten übernehmen müsste. Ob dies unter Berücksichtigung seines Alters unter dem Blickwinkel der Schadenminderungspflicht rechtens ist, ist zweifelhaft. 5.3.1 Zu beachten ist weiter, dass die gesundheitlich bedingte Beeinträchtigung im häuslichen Tätigkeitsfeld bei der Beschwerdeführerin auf psychischen Beschwerden beruht. Die zitierte Rechtsprechung betreffend die Schadenminderungspflicht bezieht sich in erster Linie auf Versicherte, welche an somatischen Beschwerden leiden. Bei diesen ist die Schadenminderungspflicht denn auch als rationales Kriterium anschaulich umsetzbar. Wenn beispielsweise eine versicherte Person aufgrund starker Rückenbeschwerden nichts mehr heben kann, dann lässt sich dies auch im Haushaltsabklärungsbericht konkret beziffern. Diese rationale Umsetzung ist bei psychisch kranken Versicherten nur beschränkt möglich, sind sie doch aufgrund ihrer Beschwerden meist in sämtlichen Bereichen eingeschränkt, ohne dass sich diese Einschränkung genau beziffern lassen würde. Diesem Umstand hat das Bundesgericht in konstanter Rechtsprechung insofern Rechnung getragen, als es festhält, dass der Abklärungsbericht seiner Natur nach in erster Linie auf die Ermittlung des Ausmasses physisch bedingter Beeinträchtigungen zugeschnitten sei,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d.h. wenn die Beurteilung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(vgl. Urteil des Bundesgerichts vom 16. November 2011, 8C_680/2011, E. 3.1). 5.3.2. Vorliegend erachtete der untersuchende Psychiater Dr. C. in seinem Bericht vom 8. August 2011 die Beschwerdeführerin aufgrund der gestellten Diagnosen und nach eingehender Untersuchung in ihrer psychophysischen Belastbarkeit und damit in ihrer Arbeitsfähigkeit im Haushalt zu 50% eingeschränkt. Diese Aussage überzeugt und leuchtet aufgrund der dargestellten Situation ein. Hingegen kann auf die weitere Ausführung von Dr. C. , wonach der "noch rüstige pensionierte Ehemann im Rahmen der Schadenminderungspflicht in der Lage ist, ein Pensum von 30% im Haushalt zu leisten", nicht abgestellt werden. Zunächst sei dahingestellt, ob es ihm im Rahmen der Abklärung des psychischen Gesundheitszustandes der Beschwerdeführerin obliegt, sich dahingehend zu äussern. Zu beachten ist weiter, dass Dr. C. diese Aussage gemacht hat, ohne den Ehemann der Beschwerdeführerin selber begutachtet oder anlässlich einer Abklärung vor Ort gesehen zu haben. Er kann sich daher einzig auf die Angaben im Bericht von Dr. F. vom 18. August 2010 stützen. Da Dr. F. aber kein Facharzt der Psychiatrie ist, kann seinen Ausführungen kein entscheidrelevanter Beweiswert zuerkannt werden, weshalb auch deshalb der Abklärungsbericht vom 29. November 2010 nicht verwertbar ist. Damit bleibt letztlich offen, in welchem Umfang der Ehemann Haushaltsarbeiten leisten kann und die Einschränkung der Beschwerdeführerin kann unter diesen Umständen auch nicht bestimmt werden.</w:t>
      </w:r>
    </w:p>
    <w:p>
      <w:r>
        <w:rPr>
          <w:b/>
        </w:rPr>
        <w:t>E. 5.4</w:t>
      </w:r>
    </w:p>
    <w:p>
      <w:r>
        <w:t>Zusammenfassend folgt aus dem Gesagten, dass die vorhandene Aktenlage keine abschliessende Beurteilung des Leistungsanspruchs der Beschwerdeführerin zulässt. 6. Im Entscheid 137 V 210 ff. änderte das Bundesgericht die bisherige ständige Rechtsprechung, wonach das kantonale Gericht prinzipiell die freie Wahl hatte, bei festgestellter Abklärungsbedürftigkeit die Sache an den Versicherungsträger zurückzuweisen oder aber selber zur Herstellung der Spruchreife zu schreiten. Es erkannte, dass die Beschwerdeinstanz im Regelfall ein Gerichtsgutachten einzuholen hat und eine Rückweisung an die IV-Stelle nur noch in Ausnahmefällen erfolgen soll. Da es Aufgabe der Verwaltung und nicht der Beschwerdeinstanz ist, für eine erstmalige vollständige Erhebung des massgebenden Sachverhaltes besorgt zu sein, liegt ein solcher Ausnahmefall etwa vor, wenn ein relevanter Aspekt des Sachverhaltes durch die Verwaltung nicht abgeklärt worden ist. Ausserdem bleibt es dem kantonalen Gericht unbenommen, die Sache zurückzuweisen, wenn lediglich eine Klarstellung, Präzisierung oder Ergänzungen der Aktenlage notwendig sind. Vorliegend erweist sich der Abklärungsbericht vom 29. November 2011 insofern als ungenügend, als er nicht aufgrund einer Abklärung vor Ort erstellt wurde. Da die Vorinstanz damit den massgebenden Sachverhalt mangelhaft erhoben hat, ist in casu eine Rückweisung an die IV-Stelle trotz der geänderten bundesgerichtlichen Rechtsprechung möglich. Zudem kann auch auf den psychiatrischen Bericht von Dr. C. vom 8. August 2011 nicht abgestellt werden. Die angefochtene Verfügung vom 12. September 2011 ist deshalb aufzuheben und die Angelegenheit ist an die IV-Stelle zurückzuweisen. Diese wird die Frage hinsichtlich der Einschränkung der Arbeitsfähigkeit der Beschwerdeführerin im Haushaltbereich unter Berücksichtigung der Schadenminderungspflicht des pensionierten Ehemannes durch eine Abklärung vor Ort zu beantworten haben. Weiter wird sie auch eine neuerliche psychiatrische Untersuchung vorzunehmen haben. Gestützt auf die Ergebnisse der Aktenergänzung wird die IV-Stelle anschliessend über den Anspruch der Beschwerdeführerin auf eine IV-Rente neu zu befinden haben. Die vorliegende Beschwerde ist in diesem Sinne gutzuheissen. 7.1 Beim Entscheid über die Verlegung der Verfahrens- und der Parteikosten ist grundsätzlich auf den Prozessausgang abzustellen. Hebt das Kantonsgericht eine bei ihm angefochtene leistungsablehnende Verfügung auf und weist es die Angelegenheit zur ergänzenden Abklärung und neuen Beurteilung an die Verwaltung zurück, so gilt in prozessualer Hinsicht die Beschwerde führende Partei als (vollständig) obsiegende und die IV-Stelle als unterliegende Partei (BGE 137 V 61 f. E. 2.1 und 2.2, 132 V 235 E. 6.2, je mit Hinweisen). 7.2 Gemäss Art. 69 Abs. 1 bis IVG sind Streitigkeiten um die Bewilligung oder die Verweigerung von IV-Leistungen vor dem kantonalen Versicherungsgericht kostenpflichtig. Die Verfahrenskosten werden gestützt auf § 20 Abs. 3 des kantonalen Gesetzes über die Verfassungs- und Verwaltungsprozessordnung (VPO) vom 16. Dezember 1993 in der Regel in angemessenem Ausmass der unterliegenden Partei auferlegt. Vorliegend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Aufgrund dieser Bestimmung hat die IV-Stelle als Vorinstanz trotz Unterliegens nicht für die Verfahrenskosten aufzukommen. Dies hat zur Folge, dass für den vorliegenden Prozess keine Verfahrenskosten erhoben werden. Die ausserordentlichen Kosten sind wettzuschlagen. 8.1 Gemäss Art. 90 des Bundesgesetzes über das Bundesgericht (BGG) vom 17. Juni 2005 ist die Beschwerde in öffentlichrechtlichen Angelegenheiten an das Bundesgericht zulässig gegen Entscheide, die das Verfahren abschliessen. Selbstständig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8.2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w:t>
      </w:r>
    </w:p>
    <w:p>
      <w:r>
        <w:rPr>
          <w:b/>
        </w:rPr>
        <w:t>E. 10</w:t>
      </w:r>
    </w:p>
    <w:p>
      <w:r>
        <w:t>% 20%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